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37158B" w:rsidRPr="00CC7EC4" w:rsidRDefault="0037158B" w:rsidP="0037158B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166772">
        <w:rPr>
          <w:rFonts w:asciiTheme="majorHAnsi" w:hAnsiTheme="majorHAnsi" w:cstheme="majorHAnsi"/>
          <w:b/>
          <w:caps/>
        </w:rPr>
        <w:t xml:space="preserve"> </w:t>
      </w:r>
      <w:r w:rsidRPr="00462132">
        <w:rPr>
          <w:rFonts w:asciiTheme="majorHAnsi" w:hAnsiTheme="majorHAnsi" w:cstheme="majorHAnsi"/>
          <w:b/>
          <w:caps/>
        </w:rPr>
        <w:t>ФИЛЬТРЫ СОРБЦИО</w:t>
      </w:r>
      <w:r w:rsidR="00CC7EC4">
        <w:rPr>
          <w:rFonts w:asciiTheme="majorHAnsi" w:hAnsiTheme="majorHAnsi" w:cstheme="majorHAnsi"/>
          <w:b/>
          <w:caps/>
        </w:rPr>
        <w:t xml:space="preserve">ННЫЕ БЕЗНАПОРНЫЕ </w:t>
      </w:r>
      <w:r w:rsidR="00CC7EC4">
        <w:rPr>
          <w:rFonts w:asciiTheme="majorHAnsi" w:hAnsiTheme="majorHAnsi" w:cstheme="majorHAnsi"/>
          <w:b/>
          <w:caps/>
          <w:lang w:val="en-US"/>
        </w:rPr>
        <w:t>ACO</w:t>
      </w:r>
      <w:r w:rsidR="00CC7EC4" w:rsidRPr="00CC7EC4">
        <w:rPr>
          <w:rFonts w:asciiTheme="majorHAnsi" w:hAnsiTheme="majorHAnsi" w:cstheme="majorHAnsi"/>
          <w:b/>
          <w:caps/>
        </w:rPr>
        <w:t xml:space="preserve"> </w:t>
      </w:r>
      <w:r w:rsidR="00CC7EC4">
        <w:rPr>
          <w:rFonts w:asciiTheme="majorHAnsi" w:hAnsiTheme="majorHAnsi" w:cstheme="majorHAnsi"/>
          <w:b/>
          <w:caps/>
          <w:lang w:val="en-US"/>
        </w:rPr>
        <w:t>FSB</w:t>
      </w:r>
    </w:p>
    <w:tbl>
      <w:tblPr>
        <w:tblStyle w:val="TableGrid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pPr w:leftFromText="180" w:rightFromText="180" w:vertAnchor="text" w:horzAnchor="margin" w:tblpXSpec="right" w:tblpY="41"/>
        <w:tblOverlap w:val="never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</w:tblGrid>
      <w:tr w:rsidR="0037158B" w:rsidRPr="00462132" w:rsidTr="00BE323D">
        <w:trPr>
          <w:trHeight w:val="36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58B" w:rsidRPr="00462132" w:rsidRDefault="0037158B" w:rsidP="00BE323D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</w:p>
          <w:p w:rsidR="0037158B" w:rsidRPr="00462132" w:rsidRDefault="0037158B" w:rsidP="00BE323D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462132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37158B" w:rsidRPr="00462132" w:rsidRDefault="0037158B" w:rsidP="00BE323D">
            <w:pPr>
              <w:ind w:left="0"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37158B" w:rsidRPr="00462132" w:rsidTr="00BE323D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58B" w:rsidRPr="00462132" w:rsidRDefault="0037158B" w:rsidP="00BE323D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58B" w:rsidRPr="00462132" w:rsidRDefault="0037158B" w:rsidP="00BE323D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37158B" w:rsidRPr="00462132" w:rsidTr="00BE323D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Производительность поступающего стока, л/с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Исполнение: вертикальное / горизонтальное*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245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58B" w:rsidRPr="00462132" w:rsidRDefault="0037158B" w:rsidP="00BE323D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Установка: в помещении / под газоном / под проезжей частью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245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Глубина заложения подводящего трубопровода (лоток), h**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24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B" w:rsidRPr="00462132" w:rsidRDefault="0037158B" w:rsidP="00BE323D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Материал и диаметр подводящей/отводящей трубы, мм (</w:t>
            </w: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например, ПЭ100 </w:t>
            </w:r>
            <w:r w:rsidRPr="00462132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SDR</w:t>
            </w: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11 </w:t>
            </w:r>
            <w:r w:rsidRPr="00462132">
              <w:rPr>
                <w:rFonts w:ascii="Cambria Math" w:hAnsi="Cambria Math" w:cs="Cambria Math"/>
                <w:i/>
                <w:sz w:val="18"/>
                <w:szCs w:val="18"/>
              </w:rPr>
              <w:t>∅</w:t>
            </w: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>110</w:t>
            </w: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58B" w:rsidRPr="00462132" w:rsidRDefault="0037158B" w:rsidP="00BE323D">
            <w:pPr>
              <w:spacing w:before="16" w:line="276" w:lineRule="auto"/>
              <w:ind w:left="-105" w:right="-104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46213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 - при горизонтальном исполнении возможность регенерации сорбционной загрузки уточняется дополнительно.</w:t>
            </w:r>
          </w:p>
          <w:p w:rsidR="0037158B" w:rsidRPr="00462132" w:rsidRDefault="0037158B" w:rsidP="00BE323D">
            <w:pPr>
              <w:spacing w:before="16" w:line="276" w:lineRule="auto"/>
              <w:ind w:left="-105" w:right="-104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46213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** - если точная глубина не известна, можно указать ориентировочную глубину с погрешностью 1,0 м</w:t>
            </w:r>
          </w:p>
          <w:p w:rsidR="0037158B" w:rsidRPr="00462132" w:rsidRDefault="0037158B" w:rsidP="00BE323D">
            <w:pPr>
              <w:spacing w:before="16" w:line="276" w:lineRule="auto"/>
              <w:ind w:left="-105" w:right="-104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</w:p>
          <w:p w:rsidR="0037158B" w:rsidRPr="00462132" w:rsidRDefault="0037158B" w:rsidP="00BE323D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462132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</w:tc>
      </w:tr>
      <w:tr w:rsidR="0037158B" w:rsidRPr="00462132" w:rsidTr="00BE323D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58B" w:rsidRPr="00462132" w:rsidRDefault="0037158B" w:rsidP="00BE323D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58B" w:rsidRPr="00462132" w:rsidRDefault="0037158B" w:rsidP="00BE323D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37158B" w:rsidRPr="00462132" w:rsidTr="00BE323D">
        <w:trPr>
          <w:trHeight w:val="262"/>
        </w:trPr>
        <w:tc>
          <w:tcPr>
            <w:tcW w:w="4678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Режим поступления стоков (напорный / безнапорный)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262"/>
        </w:trPr>
        <w:tc>
          <w:tcPr>
            <w:tcW w:w="4678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Направление подводящей / отводящей трубы, часы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 xml:space="preserve">Вход – </w:t>
            </w:r>
          </w:p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 xml:space="preserve">Выход – </w:t>
            </w:r>
          </w:p>
        </w:tc>
      </w:tr>
      <w:tr w:rsidR="0037158B" w:rsidRPr="00462132" w:rsidTr="00BE323D">
        <w:trPr>
          <w:trHeight w:val="262"/>
        </w:trPr>
        <w:tc>
          <w:tcPr>
            <w:tcW w:w="4678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Сейсмичность объекта (MSK-64), баллы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58B" w:rsidRPr="00462132" w:rsidTr="00BE323D">
        <w:trPr>
          <w:trHeight w:val="607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 xml:space="preserve">Габаритные размеры оборудования, мм </w:t>
            </w:r>
          </w:p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(при наличии проектной документации)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B" w:rsidRPr="00462132" w:rsidRDefault="0037158B" w:rsidP="00BE323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18341F" w:rsidP="0037158B">
      <w:pPr>
        <w:ind w:left="284" w:right="-129"/>
        <w:rPr>
          <w:rFonts w:asciiTheme="majorHAnsi" w:hAnsiTheme="majorHAnsi" w:cstheme="majorHAnsi"/>
          <w:b/>
          <w:szCs w:val="20"/>
        </w:rPr>
      </w:pPr>
      <w:r w:rsidRPr="00C5108A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-89052</wp:posOffset>
            </wp:positionH>
            <wp:positionV relativeFrom="paragraph">
              <wp:posOffset>75464</wp:posOffset>
            </wp:positionV>
            <wp:extent cx="1089965" cy="3003381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965" cy="300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18341F" w:rsidP="0037158B">
      <w:pPr>
        <w:ind w:left="284" w:right="-129"/>
        <w:rPr>
          <w:rFonts w:asciiTheme="majorHAnsi" w:hAnsiTheme="majorHAnsi" w:cstheme="majorHAnsi"/>
          <w:b/>
          <w:szCs w:val="20"/>
        </w:rPr>
      </w:pPr>
      <w:r w:rsidRPr="0018341F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1088365</wp:posOffset>
            </wp:positionH>
            <wp:positionV relativeFrom="paragraph">
              <wp:posOffset>113284</wp:posOffset>
            </wp:positionV>
            <wp:extent cx="1892300" cy="2280712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466" cy="228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</w:p>
    <w:p w:rsidR="0037158B" w:rsidRDefault="0037158B" w:rsidP="0037158B">
      <w:pPr>
        <w:ind w:left="0" w:right="-129"/>
        <w:rPr>
          <w:rFonts w:asciiTheme="majorHAnsi" w:hAnsiTheme="majorHAnsi" w:cstheme="majorHAnsi"/>
          <w:b/>
          <w:szCs w:val="20"/>
        </w:rPr>
      </w:pPr>
    </w:p>
    <w:p w:rsidR="0037158B" w:rsidRPr="00462132" w:rsidRDefault="0037158B" w:rsidP="0037158B">
      <w:pPr>
        <w:ind w:left="284" w:right="-129"/>
        <w:rPr>
          <w:rFonts w:asciiTheme="majorHAnsi" w:hAnsiTheme="majorHAnsi" w:cstheme="majorHAnsi"/>
          <w:b/>
          <w:szCs w:val="20"/>
        </w:rPr>
      </w:pPr>
      <w:r w:rsidRPr="00462132">
        <w:rPr>
          <w:rFonts w:asciiTheme="majorHAnsi" w:hAnsiTheme="majorHAnsi" w:cstheme="majorHAnsi"/>
          <w:b/>
          <w:szCs w:val="20"/>
        </w:rPr>
        <w:t>Дополнительная комплектация: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667"/>
        <w:gridCol w:w="236"/>
      </w:tblGrid>
      <w:tr w:rsidR="0037158B" w:rsidRPr="00462132" w:rsidTr="008439C2"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- 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37158B" w:rsidRPr="00462132" w:rsidTr="008439C2"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58B" w:rsidRPr="00462132" w:rsidRDefault="0037158B" w:rsidP="00BE323D">
            <w:pPr>
              <w:tabs>
                <w:tab w:val="left" w:pos="8445"/>
              </w:tabs>
              <w:ind w:left="0"/>
              <w:rPr>
                <w:rFonts w:asciiTheme="majorHAnsi" w:hAnsiTheme="majorHAnsi" w:cstheme="majorHAnsi"/>
                <w:b/>
                <w:szCs w:val="20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- Возможность для промывки и регенерации сорбционной загрузки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37158B" w:rsidRPr="00462132" w:rsidTr="008439C2">
        <w:tc>
          <w:tcPr>
            <w:tcW w:w="6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462132">
              <w:rPr>
                <w:rFonts w:asciiTheme="majorHAnsi" w:hAnsiTheme="majorHAnsi" w:cstheme="majorHAnsi"/>
                <w:sz w:val="18"/>
                <w:szCs w:val="18"/>
              </w:rPr>
              <w:t>- Датчик переполнения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37158B" w:rsidRPr="00462132" w:rsidRDefault="0037158B" w:rsidP="0037158B">
      <w:pPr>
        <w:ind w:left="284" w:right="425"/>
        <w:rPr>
          <w:rFonts w:asciiTheme="majorHAnsi" w:hAnsiTheme="majorHAnsi" w:cstheme="majorHAnsi"/>
          <w:b/>
          <w:szCs w:val="20"/>
        </w:rPr>
      </w:pPr>
      <w:r w:rsidRPr="00462132">
        <w:rPr>
          <w:rFonts w:asciiTheme="majorHAnsi" w:hAnsiTheme="majorHAnsi" w:cstheme="majorHAnsi"/>
          <w:b/>
          <w:szCs w:val="20"/>
        </w:rPr>
        <w:t>Концентрации загрязнений и условия сброса стока: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816"/>
        <w:gridCol w:w="3181"/>
        <w:gridCol w:w="3462"/>
      </w:tblGrid>
      <w:tr w:rsidR="0037158B" w:rsidRPr="00462132" w:rsidTr="00BE323D">
        <w:trPr>
          <w:trHeight w:val="231"/>
        </w:trPr>
        <w:tc>
          <w:tcPr>
            <w:tcW w:w="3816" w:type="dxa"/>
            <w:shd w:val="clear" w:color="auto" w:fill="D9D9D9"/>
          </w:tcPr>
          <w:p w:rsidR="0037158B" w:rsidRPr="00462132" w:rsidRDefault="0037158B" w:rsidP="00BE323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62132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3181" w:type="dxa"/>
            <w:shd w:val="clear" w:color="auto" w:fill="D9D9D9"/>
          </w:tcPr>
          <w:p w:rsidR="0037158B" w:rsidRPr="00462132" w:rsidRDefault="0037158B" w:rsidP="00BE323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62132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  <w:tc>
          <w:tcPr>
            <w:tcW w:w="3462" w:type="dxa"/>
            <w:shd w:val="clear" w:color="auto" w:fill="D9D9D9"/>
          </w:tcPr>
          <w:p w:rsidR="0037158B" w:rsidRPr="00462132" w:rsidRDefault="0037158B" w:rsidP="00BE323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62132">
              <w:rPr>
                <w:rFonts w:asciiTheme="majorHAnsi" w:hAnsiTheme="majorHAnsi" w:cstheme="majorHAnsi"/>
                <w:i/>
                <w:szCs w:val="20"/>
              </w:rPr>
              <w:t>На выходе</w:t>
            </w:r>
          </w:p>
        </w:tc>
      </w:tr>
      <w:tr w:rsidR="0037158B" w:rsidRPr="00462132" w:rsidTr="00BE323D">
        <w:trPr>
          <w:trHeight w:val="231"/>
        </w:trPr>
        <w:tc>
          <w:tcPr>
            <w:tcW w:w="3816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462132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3181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37158B" w:rsidRPr="00462132" w:rsidTr="00BE323D">
        <w:trPr>
          <w:trHeight w:val="265"/>
        </w:trPr>
        <w:tc>
          <w:tcPr>
            <w:tcW w:w="3816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462132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3181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3462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37158B" w:rsidRPr="00462132" w:rsidTr="00BE323D">
        <w:tc>
          <w:tcPr>
            <w:tcW w:w="3816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462132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81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37158B" w:rsidRPr="00462132" w:rsidRDefault="0037158B" w:rsidP="00BE323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37158B" w:rsidRPr="00462132" w:rsidRDefault="0037158B" w:rsidP="0037158B">
      <w:pPr>
        <w:ind w:left="284" w:right="425"/>
        <w:rPr>
          <w:rFonts w:asciiTheme="majorHAnsi" w:hAnsiTheme="majorHAnsi" w:cstheme="majorHAnsi"/>
          <w:b/>
          <w:szCs w:val="20"/>
        </w:rPr>
      </w:pPr>
    </w:p>
    <w:p w:rsidR="0037158B" w:rsidRPr="00462132" w:rsidRDefault="0037158B" w:rsidP="0037158B">
      <w:pPr>
        <w:ind w:left="426" w:right="425"/>
        <w:rPr>
          <w:rFonts w:asciiTheme="majorHAnsi" w:hAnsiTheme="majorHAnsi" w:cstheme="majorHAnsi"/>
          <w:b/>
          <w:szCs w:val="20"/>
        </w:rPr>
      </w:pPr>
      <w:r w:rsidRPr="00462132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37158B" w:rsidRPr="00462132" w:rsidRDefault="0037158B" w:rsidP="0037158B">
      <w:pPr>
        <w:ind w:left="426" w:right="425"/>
        <w:jc w:val="both"/>
        <w:rPr>
          <w:rFonts w:asciiTheme="majorHAnsi" w:hAnsiTheme="majorHAnsi" w:cstheme="majorHAnsi"/>
          <w:sz w:val="24"/>
        </w:rPr>
      </w:pPr>
    </w:p>
    <w:tbl>
      <w:tblPr>
        <w:tblW w:w="9780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37158B" w:rsidRPr="00462132" w:rsidTr="008439C2">
        <w:trPr>
          <w:trHeight w:val="218"/>
        </w:trPr>
        <w:tc>
          <w:tcPr>
            <w:tcW w:w="9780" w:type="dxa"/>
          </w:tcPr>
          <w:p w:rsidR="0037158B" w:rsidRPr="00462132" w:rsidRDefault="0037158B" w:rsidP="00BE323D">
            <w:pPr>
              <w:ind w:left="426" w:right="425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66772" w:rsidRPr="0037158B" w:rsidRDefault="0037158B" w:rsidP="0037158B">
      <w:pPr>
        <w:ind w:left="0"/>
        <w:rPr>
          <w:rFonts w:asciiTheme="majorHAnsi" w:hAnsiTheme="majorHAnsi" w:cstheme="majorHAnsi"/>
          <w:b/>
          <w:caps/>
        </w:rPr>
      </w:pPr>
      <w:r w:rsidRPr="00462132">
        <w:rPr>
          <w:rFonts w:asciiTheme="majorHAnsi" w:hAnsiTheme="majorHAnsi" w:cstheme="majorHAnsi"/>
          <w:i/>
          <w:u w:val="single"/>
        </w:rPr>
        <w:t>Примечание</w:t>
      </w:r>
      <w:r w:rsidRPr="00462132">
        <w:rPr>
          <w:rFonts w:asciiTheme="majorHAnsi" w:hAnsiTheme="majorHAnsi" w:cstheme="majorHAnsi"/>
          <w:i/>
        </w:rPr>
        <w:t>: возможно изготовление оборудования по</w:t>
      </w:r>
      <w:r>
        <w:rPr>
          <w:rFonts w:asciiTheme="majorHAnsi" w:hAnsiTheme="majorHAnsi" w:cstheme="majorHAnsi"/>
          <w:i/>
        </w:rPr>
        <w:t xml:space="preserve"> техническому заданию заказчика.</w:t>
      </w:r>
    </w:p>
    <w:sectPr w:rsidR="00166772" w:rsidRPr="0037158B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98" w:rsidRDefault="00516498" w:rsidP="0091557B">
      <w:r>
        <w:separator/>
      </w:r>
    </w:p>
  </w:endnote>
  <w:endnote w:type="continuationSeparator" w:id="0">
    <w:p w:rsidR="00516498" w:rsidRDefault="00516498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 Sans II ITC Com Bk">
    <w:charset w:val="CC"/>
    <w:family w:val="auto"/>
    <w:pitch w:val="variable"/>
    <w:sig w:usb0="80000227" w:usb1="0000000A" w:usb2="00000000" w:usb3="00000000" w:csb0="00000005" w:csb1="00000000"/>
  </w:font>
  <w:font w:name="Stone Sans II ITC Com Lt">
    <w:altName w:val="Times New Roman"/>
    <w:charset w:val="00"/>
    <w:family w:val="auto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7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Горки Ленинские рп,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28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рп,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29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98" w:rsidRDefault="00516498" w:rsidP="0091557B">
      <w:r>
        <w:separator/>
      </w:r>
    </w:p>
  </w:footnote>
  <w:footnote w:type="continuationSeparator" w:id="0">
    <w:p w:rsidR="00516498" w:rsidRDefault="00516498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Header"/>
    </w:pPr>
  </w:p>
  <w:p w:rsidR="009534AF" w:rsidRDefault="00754D20">
    <w:pPr>
      <w:pStyle w:val="Header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18341F"/>
    <w:rsid w:val="0021037C"/>
    <w:rsid w:val="00243BB5"/>
    <w:rsid w:val="0025064D"/>
    <w:rsid w:val="002566B8"/>
    <w:rsid w:val="00303164"/>
    <w:rsid w:val="0034752D"/>
    <w:rsid w:val="0037158B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16498"/>
    <w:rsid w:val="00530F93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439C2"/>
    <w:rsid w:val="008832DE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5108A"/>
    <w:rsid w:val="00C859C2"/>
    <w:rsid w:val="00CB275D"/>
    <w:rsid w:val="00CC7EC4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37382F"/>
    <w:pPr>
      <w:suppressLineNumbers/>
    </w:pPr>
  </w:style>
  <w:style w:type="table" w:styleId="TableGrid">
    <w:name w:val="Table Grid"/>
    <w:basedOn w:val="TableNormal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Normal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B61-7F25-4EF3-B95A-B8F716ED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Volkov, Vladimir</cp:lastModifiedBy>
  <cp:revision>11</cp:revision>
  <cp:lastPrinted>2019-05-06T05:03:00Z</cp:lastPrinted>
  <dcterms:created xsi:type="dcterms:W3CDTF">2020-08-05T08:48:00Z</dcterms:created>
  <dcterms:modified xsi:type="dcterms:W3CDTF">2022-08-24T04:45:00Z</dcterms:modified>
</cp:coreProperties>
</file>