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476C07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476C07" w:rsidRPr="00294B5E" w:rsidRDefault="00476C07" w:rsidP="00D1019B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476C07">
        <w:rPr>
          <w:rFonts w:asciiTheme="majorHAnsi" w:hAnsiTheme="majorHAnsi" w:cstheme="majorHAnsi"/>
          <w:b/>
          <w:caps/>
        </w:rPr>
        <w:t>ОПРОСНЫЙ ЛИСТ –</w:t>
      </w:r>
      <w:r w:rsidR="0078169B" w:rsidRPr="00166772">
        <w:rPr>
          <w:rFonts w:asciiTheme="majorHAnsi" w:hAnsiTheme="majorHAnsi" w:cstheme="majorHAnsi"/>
          <w:b/>
          <w:caps/>
        </w:rPr>
        <w:t xml:space="preserve"> </w:t>
      </w:r>
      <w:r w:rsidR="00D71129" w:rsidRPr="00D71129">
        <w:rPr>
          <w:rFonts w:asciiTheme="majorHAnsi" w:hAnsiTheme="majorHAnsi" w:cstheme="majorHAnsi"/>
          <w:b/>
          <w:caps/>
        </w:rPr>
        <w:t>СТАНОВКИ УЛЬТРАФИОЛЕТОВОГО ОБЕЗЗАРАЖИВАНИЯ</w:t>
      </w: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rPr>
          <w:trHeight w:val="173"/>
        </w:trPr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76C07" w:rsidRPr="00476C07" w:rsidRDefault="00476C07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p w:rsidR="006A1342" w:rsidRDefault="006A1342" w:rsidP="00A43691">
      <w:pPr>
        <w:ind w:left="0"/>
        <w:rPr>
          <w:rFonts w:asciiTheme="majorHAnsi" w:hAnsiTheme="majorHAnsi" w:cstheme="majorHAnsi"/>
          <w:b/>
          <w:caps/>
        </w:rPr>
      </w:pPr>
    </w:p>
    <w:tbl>
      <w:tblPr>
        <w:tblW w:w="10632" w:type="dxa"/>
        <w:tblInd w:w="10" w:type="dxa"/>
        <w:tblLook w:val="0000" w:firstRow="0" w:lastRow="0" w:firstColumn="0" w:lastColumn="0" w:noHBand="0" w:noVBand="0"/>
      </w:tblPr>
      <w:tblGrid>
        <w:gridCol w:w="4295"/>
        <w:gridCol w:w="6337"/>
      </w:tblGrid>
      <w:tr w:rsidR="00D71129" w:rsidRPr="00D71129" w:rsidTr="00D71129">
        <w:trPr>
          <w:trHeight w:val="243"/>
        </w:trPr>
        <w:tc>
          <w:tcPr>
            <w:tcW w:w="4295" w:type="dxa"/>
            <w:vMerge w:val="restart"/>
          </w:tcPr>
          <w:p w:rsidR="00D71129" w:rsidRPr="00D71129" w:rsidRDefault="00D71129" w:rsidP="009034E2">
            <w:pPr>
              <w:ind w:left="0"/>
              <w:rPr>
                <w:rFonts w:asciiTheme="majorHAnsi" w:hAnsiTheme="majorHAnsi" w:cstheme="majorHAnsi"/>
              </w:rPr>
            </w:pPr>
            <w:r w:rsidRPr="00D71129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CB446B1" wp14:editId="7B08AD05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2728595</wp:posOffset>
                  </wp:positionV>
                  <wp:extent cx="2194329" cy="1722904"/>
                  <wp:effectExtent l="0" t="0" r="0" b="0"/>
                  <wp:wrapNone/>
                  <wp:docPr id="6" name="Рисунок 6" descr="\\ru-toi-sr-0002\home$\akharitonov\ЛОС (общая)\БАНК ДАННЫХ ЛОС\!3d картинки\Каталог\Новый каталог\Блок с УФО горизонталь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ru-toi-sr-0002\home$\akharitonov\ЛОС (общая)\БАНК ДАННЫХ ЛОС\!3d картинки\Каталог\Новый каталог\Блок с УФО горизонталь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329" cy="1722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1129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6E285EA" wp14:editId="0B382778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13335</wp:posOffset>
                  </wp:positionV>
                  <wp:extent cx="2083435" cy="2686050"/>
                  <wp:effectExtent l="0" t="0" r="0" b="0"/>
                  <wp:wrapNone/>
                  <wp:docPr id="4" name="Рисунок 4" descr="колодец с УФ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лодец с УФ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435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37" w:type="dxa"/>
            <w:shd w:val="clear" w:color="auto" w:fill="auto"/>
          </w:tcPr>
          <w:p w:rsidR="00D71129" w:rsidRPr="00D71129" w:rsidRDefault="00D71129" w:rsidP="009034E2">
            <w:pPr>
              <w:ind w:left="0"/>
              <w:rPr>
                <w:rFonts w:asciiTheme="majorHAnsi" w:hAnsiTheme="majorHAnsi" w:cstheme="majorHAnsi"/>
                <w:b/>
                <w:szCs w:val="20"/>
              </w:rPr>
            </w:pPr>
          </w:p>
          <w:p w:rsidR="00D71129" w:rsidRPr="00D71129" w:rsidRDefault="00D71129" w:rsidP="009034E2">
            <w:pPr>
              <w:ind w:left="176"/>
              <w:rPr>
                <w:rFonts w:asciiTheme="majorHAnsi" w:hAnsiTheme="majorHAnsi" w:cstheme="majorHAnsi"/>
                <w:b/>
                <w:szCs w:val="20"/>
              </w:rPr>
            </w:pPr>
            <w:r w:rsidRPr="00D71129">
              <w:rPr>
                <w:rFonts w:asciiTheme="majorHAnsi" w:hAnsiTheme="majorHAnsi" w:cstheme="majorHAnsi"/>
                <w:b/>
                <w:szCs w:val="20"/>
              </w:rPr>
              <w:t>Обязательные исходные данные</w:t>
            </w:r>
          </w:p>
          <w:p w:rsidR="00D71129" w:rsidRPr="00D71129" w:rsidRDefault="00D71129" w:rsidP="009034E2">
            <w:pPr>
              <w:ind w:left="176"/>
              <w:rPr>
                <w:rFonts w:asciiTheme="majorHAnsi" w:hAnsiTheme="majorHAnsi" w:cstheme="majorHAnsi"/>
                <w:b/>
                <w:szCs w:val="20"/>
                <w:highlight w:val="yellow"/>
              </w:rPr>
            </w:pPr>
            <w:r w:rsidRPr="00D71129">
              <w:rPr>
                <w:rFonts w:asciiTheme="majorHAnsi" w:hAnsiTheme="majorHAnsi" w:cstheme="majorHAnsi"/>
                <w:i/>
                <w:szCs w:val="20"/>
              </w:rPr>
              <w:t>(пункты обязательные для расчета стоимости)</w:t>
            </w:r>
          </w:p>
        </w:tc>
      </w:tr>
      <w:tr w:rsidR="00D71129" w:rsidRPr="00D71129" w:rsidTr="00D71129">
        <w:trPr>
          <w:trHeight w:val="234"/>
        </w:trPr>
        <w:tc>
          <w:tcPr>
            <w:tcW w:w="4295" w:type="dxa"/>
            <w:vMerge/>
          </w:tcPr>
          <w:p w:rsidR="00D71129" w:rsidRPr="00D71129" w:rsidRDefault="00D71129" w:rsidP="009034E2">
            <w:pPr>
              <w:ind w:left="0"/>
              <w:rPr>
                <w:rFonts w:asciiTheme="majorHAnsi" w:hAnsiTheme="majorHAnsi" w:cstheme="majorHAnsi"/>
                <w:noProof/>
                <w:lang w:eastAsia="ru-RU"/>
              </w:rPr>
            </w:pPr>
          </w:p>
        </w:tc>
        <w:tc>
          <w:tcPr>
            <w:tcW w:w="6337" w:type="dxa"/>
          </w:tcPr>
          <w:tbl>
            <w:tblPr>
              <w:tblpPr w:leftFromText="180" w:rightFromText="180" w:vertAnchor="text" w:horzAnchor="margin" w:tblpY="-163"/>
              <w:tblOverlap w:val="never"/>
              <w:tblW w:w="6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15"/>
              <w:gridCol w:w="1276"/>
            </w:tblGrid>
            <w:tr w:rsidR="00D71129" w:rsidRPr="00D71129" w:rsidTr="00D71129">
              <w:trPr>
                <w:trHeight w:val="360"/>
              </w:trPr>
              <w:tc>
                <w:tcPr>
                  <w:tcW w:w="4815" w:type="dxa"/>
                  <w:shd w:val="clear" w:color="auto" w:fill="D9D9D9"/>
                  <w:vAlign w:val="center"/>
                </w:tcPr>
                <w:p w:rsidR="00D71129" w:rsidRPr="00D71129" w:rsidRDefault="00D71129" w:rsidP="009034E2">
                  <w:pPr>
                    <w:ind w:left="0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276" w:type="dxa"/>
                  <w:shd w:val="clear" w:color="auto" w:fill="D9D9D9"/>
                  <w:vAlign w:val="center"/>
                </w:tcPr>
                <w:p w:rsidR="00D71129" w:rsidRPr="00D71129" w:rsidRDefault="00D71129" w:rsidP="009034E2">
                  <w:pPr>
                    <w:ind w:left="0" w:right="-108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D71129" w:rsidRPr="00D71129" w:rsidTr="00D71129">
              <w:trPr>
                <w:trHeight w:val="245"/>
              </w:trPr>
              <w:tc>
                <w:tcPr>
                  <w:tcW w:w="4815" w:type="dxa"/>
                </w:tcPr>
                <w:p w:rsidR="00D71129" w:rsidRPr="00D71129" w:rsidRDefault="00D71129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>Исполнение: вертикальное / горизонтальное</w:t>
                  </w:r>
                </w:p>
              </w:tc>
              <w:tc>
                <w:tcPr>
                  <w:tcW w:w="1276" w:type="dxa"/>
                </w:tcPr>
                <w:p w:rsidR="00D71129" w:rsidRPr="00D71129" w:rsidRDefault="00D71129" w:rsidP="009034E2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D71129" w:rsidRPr="00D71129" w:rsidTr="00D71129">
              <w:trPr>
                <w:trHeight w:val="245"/>
              </w:trPr>
              <w:tc>
                <w:tcPr>
                  <w:tcW w:w="4815" w:type="dxa"/>
                </w:tcPr>
                <w:p w:rsidR="00D71129" w:rsidRPr="00D71129" w:rsidRDefault="00D71129" w:rsidP="009034E2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Размещение: наземное; подземное (под газоном / под асфальтом)</w:t>
                  </w:r>
                </w:p>
              </w:tc>
              <w:tc>
                <w:tcPr>
                  <w:tcW w:w="1276" w:type="dxa"/>
                </w:tcPr>
                <w:p w:rsidR="00D71129" w:rsidRPr="00D71129" w:rsidRDefault="00D71129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D71129" w:rsidRPr="00D71129" w:rsidTr="00D71129">
              <w:trPr>
                <w:trHeight w:val="462"/>
              </w:trPr>
              <w:tc>
                <w:tcPr>
                  <w:tcW w:w="4815" w:type="dxa"/>
                  <w:vAlign w:val="center"/>
                </w:tcPr>
                <w:p w:rsidR="00D71129" w:rsidRPr="00D71129" w:rsidRDefault="00D71129" w:rsidP="009034E2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Расход поступающих сточных вод, л/с</w:t>
                  </w:r>
                </w:p>
              </w:tc>
              <w:tc>
                <w:tcPr>
                  <w:tcW w:w="1276" w:type="dxa"/>
                </w:tcPr>
                <w:p w:rsidR="00D71129" w:rsidRPr="00D71129" w:rsidRDefault="00D71129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D71129" w:rsidRPr="00D71129" w:rsidRDefault="00D71129" w:rsidP="009034E2">
            <w:pPr>
              <w:ind w:left="318" w:hanging="102"/>
              <w:rPr>
                <w:rFonts w:asciiTheme="majorHAnsi" w:hAnsiTheme="majorHAnsi" w:cstheme="majorHAnsi"/>
              </w:rPr>
            </w:pPr>
          </w:p>
        </w:tc>
      </w:tr>
      <w:tr w:rsidR="00D71129" w:rsidRPr="00D71129" w:rsidTr="00D71129">
        <w:trPr>
          <w:trHeight w:val="494"/>
        </w:trPr>
        <w:tc>
          <w:tcPr>
            <w:tcW w:w="4295" w:type="dxa"/>
            <w:vMerge/>
          </w:tcPr>
          <w:p w:rsidR="00D71129" w:rsidRPr="00D71129" w:rsidRDefault="00D71129" w:rsidP="009034E2">
            <w:pPr>
              <w:ind w:left="0"/>
              <w:rPr>
                <w:rFonts w:asciiTheme="majorHAnsi" w:hAnsiTheme="majorHAnsi" w:cstheme="majorHAnsi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337" w:type="dxa"/>
            <w:vAlign w:val="bottom"/>
          </w:tcPr>
          <w:p w:rsidR="00D71129" w:rsidRDefault="00D71129"/>
          <w:tbl>
            <w:tblPr>
              <w:tblpPr w:leftFromText="180" w:rightFromText="180" w:vertAnchor="text" w:horzAnchor="margin" w:tblpY="-279"/>
              <w:tblOverlap w:val="never"/>
              <w:tblW w:w="6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15"/>
              <w:gridCol w:w="1286"/>
            </w:tblGrid>
            <w:tr w:rsidR="00D71129" w:rsidRPr="00D71129" w:rsidTr="00D71129">
              <w:trPr>
                <w:trHeight w:val="378"/>
              </w:trPr>
              <w:tc>
                <w:tcPr>
                  <w:tcW w:w="61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71129" w:rsidRDefault="00D71129" w:rsidP="009034E2">
                  <w:pPr>
                    <w:ind w:left="0"/>
                    <w:rPr>
                      <w:rFonts w:asciiTheme="majorHAnsi" w:hAnsiTheme="majorHAnsi" w:cstheme="majorHAnsi"/>
                      <w:b/>
                      <w:szCs w:val="20"/>
                    </w:rPr>
                  </w:pPr>
                </w:p>
                <w:p w:rsidR="00D71129" w:rsidRDefault="00D71129" w:rsidP="009034E2">
                  <w:pPr>
                    <w:ind w:left="0"/>
                    <w:rPr>
                      <w:rFonts w:asciiTheme="majorHAnsi" w:hAnsiTheme="majorHAnsi" w:cstheme="majorHAnsi"/>
                      <w:b/>
                      <w:szCs w:val="20"/>
                    </w:rPr>
                  </w:pPr>
                </w:p>
                <w:p w:rsidR="00D71129" w:rsidRPr="00D71129" w:rsidRDefault="00D71129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b/>
                      <w:szCs w:val="20"/>
                    </w:rPr>
                    <w:t>Дополнительные исходные данные</w:t>
                  </w:r>
                </w:p>
              </w:tc>
            </w:tr>
            <w:tr w:rsidR="00D71129" w:rsidRPr="00D71129" w:rsidTr="00D71129">
              <w:trPr>
                <w:trHeight w:val="378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1129" w:rsidRPr="00D71129" w:rsidRDefault="00D71129" w:rsidP="009034E2">
                  <w:pPr>
                    <w:ind w:left="0" w:firstLine="25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1129" w:rsidRPr="00D71129" w:rsidRDefault="00D71129" w:rsidP="009034E2">
                  <w:pPr>
                    <w:ind w:left="0"/>
                    <w:jc w:val="center"/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D71129" w:rsidRPr="00D71129" w:rsidTr="00D71129">
              <w:trPr>
                <w:trHeight w:val="258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Режим поступление сточной воды: напорный / самотечный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D71129" w:rsidRPr="00D71129" w:rsidTr="00D71129">
              <w:trPr>
                <w:trHeight w:val="258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Глубина заложения подводящего коллектора, м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D71129" w:rsidRPr="00D71129" w:rsidTr="00D71129">
              <w:trPr>
                <w:trHeight w:val="258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>Материал и диметр подводящего коллектора, мм (</w:t>
                  </w:r>
                  <w:r w:rsidRPr="00D71129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например, ПЭ100 </w:t>
                  </w:r>
                  <w:r w:rsidRPr="00D71129">
                    <w:rPr>
                      <w:rFonts w:asciiTheme="majorHAnsi" w:hAnsiTheme="majorHAnsi" w:cstheme="majorHAnsi"/>
                      <w:i/>
                      <w:sz w:val="18"/>
                      <w:szCs w:val="18"/>
                      <w:lang w:val="en-US"/>
                    </w:rPr>
                    <w:t>SDR</w:t>
                  </w:r>
                  <w:r w:rsidRPr="00D71129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17 </w:t>
                  </w:r>
                  <w:r w:rsidRPr="00D71129">
                    <w:rPr>
                      <w:rFonts w:ascii="Cambria Math" w:hAnsi="Cambria Math" w:cs="Cambria Math"/>
                      <w:i/>
                      <w:sz w:val="18"/>
                      <w:szCs w:val="18"/>
                    </w:rPr>
                    <w:t>∅</w:t>
                  </w:r>
                  <w:r w:rsidRPr="00D71129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110</w:t>
                  </w: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D71129" w:rsidRPr="00D71129" w:rsidTr="00D71129">
              <w:trPr>
                <w:trHeight w:val="468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>Материал и диметр отводящего коллектора, мм (</w:t>
                  </w:r>
                  <w:r w:rsidRPr="00D71129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например, ПЭ100 </w:t>
                  </w:r>
                  <w:r w:rsidRPr="00D71129">
                    <w:rPr>
                      <w:rFonts w:asciiTheme="majorHAnsi" w:hAnsiTheme="majorHAnsi" w:cstheme="majorHAnsi"/>
                      <w:i/>
                      <w:sz w:val="18"/>
                      <w:szCs w:val="18"/>
                      <w:lang w:val="en-US"/>
                    </w:rPr>
                    <w:t>SDR</w:t>
                  </w:r>
                  <w:r w:rsidRPr="00D71129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17 </w:t>
                  </w:r>
                  <w:r w:rsidRPr="00D71129">
                    <w:rPr>
                      <w:rFonts w:ascii="Cambria Math" w:hAnsi="Cambria Math" w:cs="Cambria Math"/>
                      <w:i/>
                      <w:sz w:val="18"/>
                      <w:szCs w:val="18"/>
                    </w:rPr>
                    <w:t>∅</w:t>
                  </w:r>
                  <w:r w:rsidRPr="00D71129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110</w:t>
                  </w: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D71129" w:rsidRPr="00D71129" w:rsidTr="00D71129">
              <w:trPr>
                <w:trHeight w:val="258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Направление подключений (часы)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Вход - </w:t>
                  </w:r>
                </w:p>
                <w:p w:rsidR="00D71129" w:rsidRPr="00D71129" w:rsidRDefault="00D71129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Выход - </w:t>
                  </w:r>
                </w:p>
              </w:tc>
            </w:tr>
            <w:tr w:rsidR="00D71129" w:rsidRPr="00D71129" w:rsidTr="00D71129">
              <w:trPr>
                <w:trHeight w:val="551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Размещение шкафа управления: уличное / внутри установки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D71129" w:rsidRPr="00D71129" w:rsidTr="00D71129">
              <w:trPr>
                <w:trHeight w:val="275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>Сейсмичность объекта (</w:t>
                  </w: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MSK</w:t>
                  </w: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>-64), баллы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D71129" w:rsidRPr="00D71129" w:rsidTr="00D71129">
              <w:trPr>
                <w:trHeight w:val="275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D71129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Габаритные размеры оборудования, мм (при наличии проектной документации)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129" w:rsidRPr="00D71129" w:rsidRDefault="00D71129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D71129" w:rsidRPr="00D71129" w:rsidRDefault="00D71129" w:rsidP="009034E2">
            <w:pPr>
              <w:ind w:left="318" w:right="-181" w:hanging="10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D71129" w:rsidRPr="00D71129" w:rsidRDefault="00D71129" w:rsidP="00D71129">
      <w:pPr>
        <w:ind w:left="0" w:right="-129"/>
        <w:rPr>
          <w:rFonts w:asciiTheme="majorHAnsi" w:hAnsiTheme="majorHAnsi" w:cstheme="majorHAnsi"/>
          <w:b/>
          <w:szCs w:val="20"/>
        </w:rPr>
      </w:pPr>
    </w:p>
    <w:p w:rsidR="00D71129" w:rsidRPr="00D71129" w:rsidRDefault="00D71129" w:rsidP="00D71129">
      <w:pPr>
        <w:ind w:left="0" w:right="-129"/>
        <w:rPr>
          <w:rFonts w:asciiTheme="majorHAnsi" w:hAnsiTheme="majorHAnsi" w:cstheme="majorHAnsi"/>
          <w:b/>
          <w:szCs w:val="20"/>
        </w:rPr>
      </w:pPr>
    </w:p>
    <w:p w:rsidR="00D71129" w:rsidRPr="00D71129" w:rsidRDefault="00D71129" w:rsidP="00D71129">
      <w:pPr>
        <w:ind w:left="0" w:right="-129"/>
        <w:rPr>
          <w:rFonts w:asciiTheme="majorHAnsi" w:hAnsiTheme="majorHAnsi" w:cstheme="majorHAnsi"/>
          <w:b/>
          <w:szCs w:val="20"/>
        </w:rPr>
      </w:pPr>
    </w:p>
    <w:tbl>
      <w:tblPr>
        <w:tblStyle w:val="a4"/>
        <w:tblW w:w="0" w:type="auto"/>
        <w:tblInd w:w="433" w:type="dxa"/>
        <w:tblLook w:val="04A0" w:firstRow="1" w:lastRow="0" w:firstColumn="1" w:lastColumn="0" w:noHBand="0" w:noVBand="1"/>
      </w:tblPr>
      <w:tblGrid>
        <w:gridCol w:w="6371"/>
        <w:gridCol w:w="236"/>
        <w:gridCol w:w="23"/>
      </w:tblGrid>
      <w:tr w:rsidR="00D71129" w:rsidRPr="00D71129" w:rsidTr="009034E2">
        <w:tc>
          <w:tcPr>
            <w:tcW w:w="6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1129" w:rsidRPr="00D71129" w:rsidRDefault="00D71129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bookmarkStart w:id="0" w:name="_GoBack"/>
            <w:bookmarkEnd w:id="0"/>
            <w:r w:rsidRPr="00D71129">
              <w:rPr>
                <w:rFonts w:asciiTheme="majorHAnsi" w:hAnsiTheme="majorHAnsi" w:cstheme="majorHAnsi"/>
                <w:b/>
                <w:szCs w:val="20"/>
              </w:rPr>
              <w:t>Дополнительная комплектация</w:t>
            </w:r>
          </w:p>
        </w:tc>
      </w:tr>
      <w:tr w:rsidR="00D71129" w:rsidRPr="00D71129" w:rsidTr="009034E2">
        <w:trPr>
          <w:gridAfter w:val="1"/>
          <w:wAfter w:w="23" w:type="dxa"/>
        </w:trPr>
        <w:tc>
          <w:tcPr>
            <w:tcW w:w="6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1129" w:rsidRPr="00D71129" w:rsidRDefault="00D71129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D71129">
              <w:rPr>
                <w:rFonts w:asciiTheme="majorHAnsi" w:hAnsiTheme="majorHAnsi" w:cstheme="majorHAnsi"/>
                <w:sz w:val="18"/>
                <w:szCs w:val="18"/>
              </w:rPr>
              <w:t>Чугунный люк (при размещении под проезжей частью)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71129" w:rsidRPr="00D71129" w:rsidRDefault="00D71129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D71129" w:rsidRPr="00D71129" w:rsidTr="009034E2">
        <w:trPr>
          <w:gridAfter w:val="1"/>
          <w:wAfter w:w="23" w:type="dxa"/>
        </w:trPr>
        <w:tc>
          <w:tcPr>
            <w:tcW w:w="6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1129" w:rsidRPr="00D71129" w:rsidRDefault="00D71129" w:rsidP="009034E2">
            <w:pPr>
              <w:tabs>
                <w:tab w:val="left" w:pos="8249"/>
              </w:tabs>
              <w:ind w:left="0" w:right="31"/>
              <w:rPr>
                <w:rFonts w:asciiTheme="majorHAnsi" w:hAnsiTheme="majorHAnsi" w:cstheme="majorHAnsi"/>
                <w:sz w:val="18"/>
                <w:szCs w:val="18"/>
              </w:rPr>
            </w:pPr>
            <w:r w:rsidRPr="00D71129">
              <w:rPr>
                <w:rFonts w:asciiTheme="majorHAnsi" w:hAnsiTheme="majorHAnsi" w:cstheme="majorHAnsi"/>
                <w:sz w:val="18"/>
                <w:szCs w:val="18"/>
              </w:rPr>
              <w:t>Электро-обогрев установки (только при наземном размещении)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71129" w:rsidRPr="00D71129" w:rsidRDefault="00D71129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D71129" w:rsidRPr="00D71129" w:rsidTr="009034E2">
        <w:trPr>
          <w:gridAfter w:val="1"/>
          <w:wAfter w:w="23" w:type="dxa"/>
        </w:trPr>
        <w:tc>
          <w:tcPr>
            <w:tcW w:w="6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1129" w:rsidRPr="00D71129" w:rsidRDefault="00D71129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D71129">
              <w:rPr>
                <w:rFonts w:asciiTheme="majorHAnsi" w:hAnsiTheme="majorHAnsi" w:cstheme="majorHAnsi"/>
                <w:sz w:val="18"/>
                <w:szCs w:val="18"/>
              </w:rPr>
              <w:t>Стационарный дренажный насос с трубной обвязкой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71129" w:rsidRPr="00D71129" w:rsidRDefault="00D71129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D71129" w:rsidRPr="00D71129" w:rsidTr="009034E2">
        <w:trPr>
          <w:gridAfter w:val="1"/>
          <w:wAfter w:w="23" w:type="dxa"/>
        </w:trPr>
        <w:tc>
          <w:tcPr>
            <w:tcW w:w="6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1129" w:rsidRPr="00D71129" w:rsidRDefault="00D71129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D71129">
              <w:rPr>
                <w:rFonts w:asciiTheme="majorHAnsi" w:hAnsiTheme="majorHAnsi" w:cstheme="majorHAnsi"/>
                <w:sz w:val="18"/>
                <w:szCs w:val="18"/>
              </w:rPr>
              <w:t>Аварийная байпасная линия с запорной арматурой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71129" w:rsidRPr="00D71129" w:rsidRDefault="00D71129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D71129" w:rsidRPr="00D71129" w:rsidRDefault="00D71129" w:rsidP="00D71129">
      <w:pPr>
        <w:ind w:left="426" w:right="425"/>
        <w:rPr>
          <w:rFonts w:asciiTheme="majorHAnsi" w:hAnsiTheme="majorHAnsi" w:cstheme="majorHAnsi"/>
          <w:b/>
          <w:szCs w:val="20"/>
        </w:rPr>
      </w:pPr>
    </w:p>
    <w:p w:rsidR="00D71129" w:rsidRPr="00D71129" w:rsidRDefault="00D71129" w:rsidP="00D71129">
      <w:pPr>
        <w:ind w:left="426" w:right="425"/>
        <w:rPr>
          <w:rFonts w:asciiTheme="majorHAnsi" w:hAnsiTheme="majorHAnsi" w:cstheme="majorHAnsi"/>
          <w:b/>
          <w:szCs w:val="20"/>
        </w:rPr>
      </w:pPr>
      <w:r w:rsidRPr="00D71129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p w:rsidR="00D71129" w:rsidRPr="00D71129" w:rsidRDefault="00D71129" w:rsidP="00D71129">
      <w:pPr>
        <w:ind w:left="426" w:right="425"/>
        <w:rPr>
          <w:rFonts w:asciiTheme="majorHAnsi" w:hAnsiTheme="majorHAnsi" w:cstheme="majorHAnsi"/>
          <w:sz w:val="24"/>
        </w:rPr>
      </w:pPr>
    </w:p>
    <w:tbl>
      <w:tblPr>
        <w:tblW w:w="9780" w:type="dxa"/>
        <w:tblInd w:w="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D71129" w:rsidRPr="00D71129" w:rsidTr="009034E2">
        <w:trPr>
          <w:trHeight w:val="218"/>
        </w:trPr>
        <w:tc>
          <w:tcPr>
            <w:tcW w:w="9780" w:type="dxa"/>
          </w:tcPr>
          <w:p w:rsidR="00D71129" w:rsidRPr="00D71129" w:rsidRDefault="00D71129" w:rsidP="009034E2">
            <w:pPr>
              <w:ind w:left="426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D71129" w:rsidRPr="00D71129" w:rsidTr="009034E2">
        <w:trPr>
          <w:trHeight w:val="218"/>
        </w:trPr>
        <w:tc>
          <w:tcPr>
            <w:tcW w:w="9780" w:type="dxa"/>
          </w:tcPr>
          <w:p w:rsidR="00D71129" w:rsidRPr="00D71129" w:rsidRDefault="00D71129" w:rsidP="009034E2">
            <w:pPr>
              <w:ind w:left="426" w:right="425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D71129" w:rsidRPr="00D71129" w:rsidRDefault="00D71129" w:rsidP="00D71129">
      <w:pPr>
        <w:spacing w:before="240"/>
        <w:ind w:left="426"/>
        <w:rPr>
          <w:rFonts w:asciiTheme="majorHAnsi" w:hAnsiTheme="majorHAnsi" w:cstheme="majorHAnsi"/>
          <w:i/>
        </w:rPr>
      </w:pPr>
      <w:r w:rsidRPr="00D71129">
        <w:rPr>
          <w:rFonts w:asciiTheme="majorHAnsi" w:hAnsiTheme="majorHAnsi" w:cstheme="majorHAnsi"/>
          <w:i/>
          <w:u w:val="single"/>
        </w:rPr>
        <w:t>Примечание</w:t>
      </w:r>
      <w:r w:rsidRPr="00D71129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p w:rsidR="00D71129" w:rsidRPr="00D71129" w:rsidRDefault="00D71129" w:rsidP="00A43691">
      <w:pPr>
        <w:ind w:left="0"/>
        <w:rPr>
          <w:rFonts w:asciiTheme="majorHAnsi" w:hAnsiTheme="majorHAnsi" w:cstheme="majorHAnsi"/>
          <w:b/>
          <w:caps/>
        </w:rPr>
      </w:pPr>
    </w:p>
    <w:sectPr w:rsidR="00D71129" w:rsidRPr="00D71129" w:rsidSect="00624FA3">
      <w:headerReference w:type="default" r:id="rId9"/>
      <w:pgSz w:w="11906" w:h="16838"/>
      <w:pgMar w:top="426" w:right="566" w:bottom="426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E0C" w:rsidRDefault="00CC1E0C" w:rsidP="0091557B">
      <w:r>
        <w:separator/>
      </w:r>
    </w:p>
  </w:endnote>
  <w:endnote w:type="continuationSeparator" w:id="0">
    <w:p w:rsidR="00CC1E0C" w:rsidRDefault="00CC1E0C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E0C" w:rsidRDefault="00CC1E0C" w:rsidP="0091557B">
      <w:r>
        <w:separator/>
      </w:r>
    </w:p>
  </w:footnote>
  <w:footnote w:type="continuationSeparator" w:id="0">
    <w:p w:rsidR="00CC1E0C" w:rsidRDefault="00CC1E0C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right"/>
      <w:tblBorders>
        <w:bottom w:val="single" w:sz="2" w:space="0" w:color="FF0000"/>
      </w:tblBorders>
      <w:tblLook w:val="04A0" w:firstRow="1" w:lastRow="0" w:firstColumn="1" w:lastColumn="0" w:noHBand="0" w:noVBand="1"/>
    </w:tblPr>
    <w:tblGrid>
      <w:gridCol w:w="1985"/>
      <w:gridCol w:w="6946"/>
      <w:gridCol w:w="1842"/>
    </w:tblGrid>
    <w:tr w:rsidR="0091557B" w:rsidRPr="00846C88" w:rsidTr="0091557B">
      <w:trPr>
        <w:trHeight w:val="1135"/>
        <w:jc w:val="right"/>
      </w:trPr>
      <w:tc>
        <w:tcPr>
          <w:tcW w:w="1985" w:type="dxa"/>
          <w:shd w:val="clear" w:color="auto" w:fill="auto"/>
          <w:vAlign w:val="center"/>
        </w:tcPr>
        <w:p w:rsidR="0091557B" w:rsidRPr="00846C88" w:rsidRDefault="0091557B" w:rsidP="0091557B">
          <w:pPr>
            <w:ind w:left="-108"/>
            <w:jc w:val="center"/>
            <w:rPr>
              <w:sz w:val="18"/>
              <w:szCs w:val="18"/>
            </w:rPr>
          </w:pPr>
          <w:r w:rsidRPr="00C60F8D">
            <w:rPr>
              <w:noProof/>
              <w:szCs w:val="20"/>
              <w:lang w:eastAsia="ru-RU"/>
            </w:rPr>
            <w:drawing>
              <wp:inline distT="0" distB="0" distL="0" distR="0" wp14:anchorId="40887E73" wp14:editId="4F67DE50">
                <wp:extent cx="1095375" cy="504825"/>
                <wp:effectExtent l="0" t="0" r="9525" b="9525"/>
                <wp:docPr id="12" name="Рисунок 12" descr="ECOLINE_LOGO_print (NEW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COLINE_LOGO_print (NEW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ООО «ЭКОЛАЙН» ОГРН 1036301061994 ИНН 6321078095 КПП 632101001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Юридический и почтовый адрес: Россия, Самарская обл., 445030,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г. Тольятти, ул. 40 лет Победы, 13Б</w:t>
          </w:r>
        </w:p>
        <w:p w:rsidR="0091557B" w:rsidRPr="00846C88" w:rsidRDefault="0091557B" w:rsidP="0091557B">
          <w:pPr>
            <w:ind w:left="-120"/>
            <w:jc w:val="center"/>
            <w:rPr>
              <w:rFonts w:ascii="Times" w:hAnsi="Times"/>
              <w:sz w:val="30"/>
              <w:szCs w:val="30"/>
              <w:lang w:val="en-US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тел</w:t>
          </w:r>
          <w:r w:rsidRPr="0091557B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.: +7 (8482) 55-99-01 E-mail: info@acogroup.ru  Web: </w:t>
          </w:r>
          <w:hyperlink r:id="rId2" w:history="1">
            <w:r w:rsidRPr="0091557B">
              <w:rPr>
                <w:rStyle w:val="a9"/>
                <w:rFonts w:asciiTheme="majorHAnsi" w:hAnsiTheme="majorHAnsi" w:cstheme="majorHAnsi"/>
                <w:sz w:val="16"/>
                <w:szCs w:val="16"/>
                <w:lang w:val="en-US"/>
              </w:rPr>
              <w:t>www.acorussia.ru</w:t>
            </w:r>
          </w:hyperlink>
        </w:p>
      </w:tc>
      <w:tc>
        <w:tcPr>
          <w:tcW w:w="1842" w:type="dxa"/>
          <w:shd w:val="clear" w:color="auto" w:fill="auto"/>
          <w:vAlign w:val="center"/>
        </w:tcPr>
        <w:p w:rsidR="0091557B" w:rsidRPr="00846C88" w:rsidRDefault="0091557B" w:rsidP="0091557B">
          <w:pPr>
            <w:ind w:left="36" w:right="-672"/>
            <w:jc w:val="center"/>
            <w:rPr>
              <w:b/>
              <w:color w:val="7F7F7F"/>
              <w:sz w:val="18"/>
              <w:szCs w:val="1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EC8896A" wp14:editId="4E4C85FE">
                <wp:extent cx="666750" cy="514350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57B" w:rsidRDefault="0091557B" w:rsidP="009155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E24F6"/>
    <w:rsid w:val="001564DA"/>
    <w:rsid w:val="00166772"/>
    <w:rsid w:val="0021037C"/>
    <w:rsid w:val="00243BB5"/>
    <w:rsid w:val="0025064D"/>
    <w:rsid w:val="002566B8"/>
    <w:rsid w:val="00294B5E"/>
    <w:rsid w:val="00303164"/>
    <w:rsid w:val="0034752D"/>
    <w:rsid w:val="0037382F"/>
    <w:rsid w:val="003861D2"/>
    <w:rsid w:val="00432B20"/>
    <w:rsid w:val="004545D6"/>
    <w:rsid w:val="00476C07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624FA3"/>
    <w:rsid w:val="006A1342"/>
    <w:rsid w:val="00700E58"/>
    <w:rsid w:val="0070755B"/>
    <w:rsid w:val="0072334C"/>
    <w:rsid w:val="00767FD0"/>
    <w:rsid w:val="00772724"/>
    <w:rsid w:val="00773218"/>
    <w:rsid w:val="0078169B"/>
    <w:rsid w:val="00781ABC"/>
    <w:rsid w:val="00783264"/>
    <w:rsid w:val="008571A8"/>
    <w:rsid w:val="008832DE"/>
    <w:rsid w:val="008C19F4"/>
    <w:rsid w:val="008C2168"/>
    <w:rsid w:val="008D3C8C"/>
    <w:rsid w:val="0091557B"/>
    <w:rsid w:val="00951F56"/>
    <w:rsid w:val="00954B23"/>
    <w:rsid w:val="00990769"/>
    <w:rsid w:val="009947AB"/>
    <w:rsid w:val="0099691A"/>
    <w:rsid w:val="009B6589"/>
    <w:rsid w:val="009C7C8F"/>
    <w:rsid w:val="00A230CD"/>
    <w:rsid w:val="00A43691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859C2"/>
    <w:rsid w:val="00CB275D"/>
    <w:rsid w:val="00CC1E0C"/>
    <w:rsid w:val="00D00EDC"/>
    <w:rsid w:val="00D1019B"/>
    <w:rsid w:val="00D3164A"/>
    <w:rsid w:val="00D54C1E"/>
    <w:rsid w:val="00D70C7A"/>
    <w:rsid w:val="00D71129"/>
    <w:rsid w:val="00E12792"/>
    <w:rsid w:val="00E2043B"/>
    <w:rsid w:val="00E57971"/>
    <w:rsid w:val="00EC5FA8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3CFC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acorussia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55C2-620B-46FD-89E6-1343FBF1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Kovalenko, Pavel</cp:lastModifiedBy>
  <cp:revision>2</cp:revision>
  <cp:lastPrinted>2019-05-06T05:03:00Z</cp:lastPrinted>
  <dcterms:created xsi:type="dcterms:W3CDTF">2020-08-05T08:58:00Z</dcterms:created>
  <dcterms:modified xsi:type="dcterms:W3CDTF">2020-08-05T08:58:00Z</dcterms:modified>
</cp:coreProperties>
</file>