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76C07" w:rsidRPr="00476C07" w:rsidRDefault="00476C07" w:rsidP="00D1019B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 w:rsidRPr="00166772">
        <w:rPr>
          <w:rFonts w:asciiTheme="majorHAnsi" w:hAnsiTheme="majorHAnsi" w:cstheme="majorHAnsi"/>
          <w:b/>
          <w:caps/>
        </w:rPr>
        <w:t xml:space="preserve"> </w:t>
      </w:r>
      <w:r w:rsidR="00D1019B" w:rsidRPr="00D1019B">
        <w:rPr>
          <w:rFonts w:asciiTheme="majorHAnsi" w:hAnsiTheme="majorHAnsi" w:cstheme="majorHAnsi"/>
          <w:b/>
          <w:caps/>
        </w:rPr>
        <w:t>ПЕСКООТДЕЛИТЕЛИ ОТБ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166772" w:rsidRDefault="00166772" w:rsidP="00D1019B">
      <w:pPr>
        <w:ind w:left="0"/>
        <w:rPr>
          <w:rFonts w:asciiTheme="majorHAnsi" w:hAnsiTheme="majorHAnsi" w:cstheme="majorHAnsi"/>
          <w:b/>
          <w:caps/>
        </w:rPr>
      </w:pPr>
    </w:p>
    <w:tbl>
      <w:tblPr>
        <w:tblpPr w:leftFromText="180" w:rightFromText="180" w:vertAnchor="text" w:horzAnchor="margin" w:tblpXSpec="right" w:tblpY="155"/>
        <w:tblOverlap w:val="never"/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564"/>
      </w:tblGrid>
      <w:tr w:rsidR="00D1019B" w:rsidRPr="00D1019B" w:rsidTr="00D1019B">
        <w:trPr>
          <w:trHeight w:val="360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b/>
                <w:szCs w:val="20"/>
              </w:rPr>
            </w:pPr>
            <w:r w:rsidRPr="00D1019B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D1019B" w:rsidRPr="00D1019B" w:rsidRDefault="00D1019B" w:rsidP="009034E2">
            <w:pPr>
              <w:ind w:left="0" w:right="-108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D1019B" w:rsidRPr="00D1019B" w:rsidTr="00D1019B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019B" w:rsidRPr="00D1019B" w:rsidRDefault="00D1019B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i/>
                <w:sz w:val="18"/>
                <w:szCs w:val="18"/>
              </w:rPr>
              <w:t>Параметр, (ед. измерения)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019B" w:rsidRPr="00D1019B" w:rsidRDefault="00D1019B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i/>
                <w:sz w:val="18"/>
                <w:szCs w:val="18"/>
              </w:rPr>
              <w:t>значение</w:t>
            </w:r>
          </w:p>
        </w:tc>
      </w:tr>
      <w:tr w:rsidR="00D1019B" w:rsidRPr="00D1019B" w:rsidTr="00D1019B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Производительность поступающего стока, л/с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B" w:rsidRPr="00D1019B" w:rsidRDefault="00D1019B" w:rsidP="009034E2">
            <w:pPr>
              <w:ind w:left="0" w:right="-52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1019B" w:rsidRPr="00D1019B" w:rsidTr="00D1019B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Исполнение: вертикальное/горизонтальное*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B" w:rsidRPr="00D1019B" w:rsidRDefault="00D1019B" w:rsidP="009034E2">
            <w:pPr>
              <w:ind w:left="0" w:right="-52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1019B" w:rsidRPr="00D1019B" w:rsidTr="009B12A6">
        <w:trPr>
          <w:trHeight w:val="245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B" w:rsidRPr="00D1019B" w:rsidRDefault="00D1019B" w:rsidP="009034E2">
            <w:pPr>
              <w:pStyle w:val="a3"/>
              <w:snapToGrid w:val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Установка: в помещении / под газоном / под проезжей частью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1019B" w:rsidRPr="00D1019B" w:rsidTr="009B12A6">
        <w:trPr>
          <w:trHeight w:val="245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Глубина заложения подводящего трубопровода (лоток), h**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1019B" w:rsidRPr="00D1019B" w:rsidTr="009B12A6">
        <w:trPr>
          <w:trHeight w:val="360"/>
        </w:trPr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019B" w:rsidRPr="00D1019B" w:rsidRDefault="00D1019B" w:rsidP="009034E2">
            <w:pPr>
              <w:spacing w:before="16" w:line="276" w:lineRule="auto"/>
              <w:ind w:left="-105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D1019B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* - при производительности стока свыше 10 л/с возможность изготовления вертикальной установки уточняется дополнительно.</w:t>
            </w:r>
          </w:p>
          <w:p w:rsidR="00D1019B" w:rsidRDefault="00D1019B" w:rsidP="009034E2">
            <w:pPr>
              <w:spacing w:before="16" w:line="276" w:lineRule="auto"/>
              <w:ind w:left="-105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D1019B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** - если точная глубина не известна, необходимо указать менее или более 2500мм.</w:t>
            </w:r>
          </w:p>
          <w:p w:rsidR="00310526" w:rsidRPr="00D1019B" w:rsidRDefault="00310526" w:rsidP="009034E2">
            <w:pPr>
              <w:spacing w:before="16" w:line="276" w:lineRule="auto"/>
              <w:ind w:left="-105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bookmarkStart w:id="0" w:name="_GoBack"/>
            <w:bookmarkEnd w:id="0"/>
          </w:p>
          <w:p w:rsidR="00D1019B" w:rsidRPr="00D1019B" w:rsidRDefault="00D1019B" w:rsidP="009034E2">
            <w:pPr>
              <w:suppressAutoHyphens w:val="0"/>
              <w:ind w:left="0" w:firstLine="216"/>
              <w:rPr>
                <w:rFonts w:asciiTheme="majorHAnsi" w:hAnsiTheme="majorHAnsi" w:cstheme="majorHAnsi"/>
                <w:b/>
                <w:szCs w:val="20"/>
              </w:rPr>
            </w:pPr>
            <w:r w:rsidRPr="00D1019B">
              <w:rPr>
                <w:rFonts w:asciiTheme="majorHAnsi" w:hAnsiTheme="majorHAnsi" w:cstheme="majorHAnsi"/>
                <w:b/>
                <w:szCs w:val="20"/>
              </w:rPr>
              <w:t>Дополнительные исходные данные</w:t>
            </w:r>
          </w:p>
        </w:tc>
      </w:tr>
      <w:tr w:rsidR="00D1019B" w:rsidRPr="00D1019B" w:rsidTr="00D1019B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019B" w:rsidRPr="00D1019B" w:rsidRDefault="00D1019B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i/>
                <w:sz w:val="18"/>
                <w:szCs w:val="18"/>
              </w:rPr>
              <w:t>Параметр, (ед. измерения)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019B" w:rsidRPr="00D1019B" w:rsidRDefault="00D1019B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i/>
                <w:sz w:val="18"/>
                <w:szCs w:val="18"/>
              </w:rPr>
              <w:t>значение</w:t>
            </w:r>
          </w:p>
        </w:tc>
      </w:tr>
      <w:tr w:rsidR="00D1019B" w:rsidRPr="00D1019B" w:rsidTr="00D1019B">
        <w:trPr>
          <w:trHeight w:val="262"/>
        </w:trPr>
        <w:tc>
          <w:tcPr>
            <w:tcW w:w="4815" w:type="dxa"/>
            <w:tcBorders>
              <w:lef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Режим поступления стоков (напорный / безнапорный)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1019B" w:rsidRPr="00D1019B" w:rsidTr="00D1019B">
        <w:trPr>
          <w:trHeight w:val="262"/>
        </w:trPr>
        <w:tc>
          <w:tcPr>
            <w:tcW w:w="4815" w:type="dxa"/>
            <w:tcBorders>
              <w:left w:val="single" w:sz="4" w:space="0" w:color="auto"/>
            </w:tcBorders>
            <w:vAlign w:val="center"/>
          </w:tcPr>
          <w:p w:rsidR="00D1019B" w:rsidRPr="00D1019B" w:rsidRDefault="00D1019B" w:rsidP="009034E2">
            <w:pPr>
              <w:pStyle w:val="a3"/>
              <w:snapToGrid w:val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Материал и диаметр подводящей/отводящей трубы, мм (</w:t>
            </w:r>
            <w:r w:rsidRPr="00D1019B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например, ПЭ100 </w:t>
            </w:r>
            <w:r w:rsidRPr="00D1019B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SDR</w:t>
            </w:r>
            <w:r w:rsidRPr="00D1019B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11 </w:t>
            </w:r>
            <w:r w:rsidRPr="00D1019B">
              <w:rPr>
                <w:rFonts w:ascii="Cambria Math" w:hAnsi="Cambria Math" w:cs="Cambria Math"/>
                <w:i/>
                <w:sz w:val="18"/>
                <w:szCs w:val="18"/>
              </w:rPr>
              <w:t>∅</w:t>
            </w:r>
            <w:r w:rsidRPr="00D1019B">
              <w:rPr>
                <w:rFonts w:asciiTheme="majorHAnsi" w:hAnsiTheme="majorHAnsi" w:cstheme="majorHAnsi"/>
                <w:i/>
                <w:sz w:val="18"/>
                <w:szCs w:val="18"/>
              </w:rPr>
              <w:t>110</w:t>
            </w: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1019B" w:rsidRPr="00D1019B" w:rsidTr="00D1019B">
        <w:trPr>
          <w:trHeight w:val="262"/>
        </w:trPr>
        <w:tc>
          <w:tcPr>
            <w:tcW w:w="4815" w:type="dxa"/>
            <w:tcBorders>
              <w:lef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Направление подводящей/отводящей трубы, часы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 xml:space="preserve">Вход – </w:t>
            </w:r>
          </w:p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Выход -</w:t>
            </w:r>
          </w:p>
        </w:tc>
      </w:tr>
      <w:tr w:rsidR="00D1019B" w:rsidRPr="00D1019B" w:rsidTr="00D1019B">
        <w:trPr>
          <w:trHeight w:val="262"/>
        </w:trPr>
        <w:tc>
          <w:tcPr>
            <w:tcW w:w="4815" w:type="dxa"/>
            <w:tcBorders>
              <w:lef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Сейсмичность объекта (MSK-64), баллы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1019B" w:rsidRPr="00D1019B" w:rsidTr="00D1019B">
        <w:trPr>
          <w:trHeight w:val="460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 xml:space="preserve">Габаритные размеры оборудования, мм </w:t>
            </w:r>
          </w:p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(при наличии проектной документации)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B" w:rsidRPr="00D1019B" w:rsidRDefault="00D1019B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D1019B" w:rsidRPr="00D1019B" w:rsidRDefault="00D1019B" w:rsidP="00D1019B">
      <w:pPr>
        <w:ind w:left="0" w:right="-129"/>
        <w:rPr>
          <w:rFonts w:asciiTheme="majorHAnsi" w:hAnsiTheme="majorHAnsi" w:cstheme="majorHAnsi"/>
          <w:b/>
          <w:szCs w:val="20"/>
        </w:rPr>
      </w:pPr>
      <w:r w:rsidRPr="00D1019B">
        <w:rPr>
          <w:rFonts w:asciiTheme="majorHAnsi" w:hAnsiTheme="majorHAnsi" w:cstheme="majorHAnsi"/>
          <w:b/>
          <w:noProof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91071FF" wp14:editId="36F22006">
            <wp:simplePos x="0" y="0"/>
            <wp:positionH relativeFrom="column">
              <wp:posOffset>895291</wp:posOffset>
            </wp:positionH>
            <wp:positionV relativeFrom="paragraph">
              <wp:posOffset>33759</wp:posOffset>
            </wp:positionV>
            <wp:extent cx="1380647" cy="2126512"/>
            <wp:effectExtent l="0" t="0" r="0" b="7620"/>
            <wp:wrapNone/>
            <wp:docPr id="5" name="Рисунок 5" descr="\\ru-toi-sr-0002\home$\akharitonov\ЛОС (общая)\БАНК ДАННЫХ ЛОС\!3d картинки\ОТБ-4 (1,8х2,45) 9451_Симбирск Петролеум Плюс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u-toi-sr-0002\home$\akharitonov\ЛОС (общая)\БАНК ДАННЫХ ЛОС\!3d картинки\ОТБ-4 (1,8х2,45) 9451_Симбирск Петролеум Плюс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647" cy="212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19B" w:rsidRPr="00D1019B" w:rsidRDefault="00D1019B" w:rsidP="00D1019B">
      <w:pPr>
        <w:ind w:left="142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142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142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142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  <w:r w:rsidRPr="00D1019B">
        <w:rPr>
          <w:rFonts w:asciiTheme="majorHAnsi" w:hAnsiTheme="majorHAnsi" w:cstheme="majorHAnsi"/>
          <w:b/>
          <w:noProof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01C35E99" wp14:editId="3F10D3F2">
            <wp:simplePos x="0" y="0"/>
            <wp:positionH relativeFrom="column">
              <wp:posOffset>479425</wp:posOffset>
            </wp:positionH>
            <wp:positionV relativeFrom="paragraph">
              <wp:posOffset>151130</wp:posOffset>
            </wp:positionV>
            <wp:extent cx="2136775" cy="1936750"/>
            <wp:effectExtent l="0" t="0" r="0" b="6350"/>
            <wp:wrapNone/>
            <wp:docPr id="6" name="Рисунок 6" descr="\\ru-toi-sr-0002\home$\akharitonov\ЛОС (общая)\БАНК ДАННЫХ ЛОС\!3d картинки\ОТБ-10 9590_ЭИ_Пескоуловитель типа _ (1,5х4,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u-toi-sr-0002\home$\akharitonov\ЛОС (общая)\БАНК ДАННЫХ ЛОС\!3d картинки\ОТБ-10 9590_ЭИ_Пескоуловитель типа _ (1,5х4,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-129"/>
        <w:rPr>
          <w:rFonts w:asciiTheme="majorHAnsi" w:hAnsiTheme="majorHAnsi" w:cstheme="majorHAnsi"/>
          <w:b/>
          <w:szCs w:val="20"/>
        </w:rPr>
      </w:pPr>
      <w:r w:rsidRPr="00D1019B">
        <w:rPr>
          <w:rFonts w:asciiTheme="majorHAnsi" w:hAnsiTheme="majorHAnsi" w:cstheme="majorHAnsi"/>
          <w:b/>
          <w:szCs w:val="20"/>
        </w:rPr>
        <w:t>Дополнительная комплектация: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68"/>
        <w:gridCol w:w="236"/>
      </w:tblGrid>
      <w:tr w:rsidR="00D1019B" w:rsidRPr="00D1019B" w:rsidTr="009034E2">
        <w:tc>
          <w:tcPr>
            <w:tcW w:w="8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D1019B" w:rsidRPr="00D1019B" w:rsidTr="009034E2">
        <w:tc>
          <w:tcPr>
            <w:tcW w:w="8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Датчик уровня песка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D1019B" w:rsidRPr="00D1019B" w:rsidTr="009034E2">
        <w:tc>
          <w:tcPr>
            <w:tcW w:w="8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9B" w:rsidRPr="00D1019B" w:rsidRDefault="00D1019B" w:rsidP="009034E2">
            <w:pPr>
              <w:ind w:left="0" w:right="31"/>
              <w:rPr>
                <w:rFonts w:asciiTheme="majorHAnsi" w:hAnsiTheme="majorHAnsi" w:cstheme="majorHAnsi"/>
                <w:sz w:val="18"/>
                <w:szCs w:val="18"/>
              </w:rPr>
            </w:pPr>
            <w:r w:rsidRPr="00D1019B">
              <w:rPr>
                <w:rFonts w:asciiTheme="majorHAnsi" w:hAnsiTheme="majorHAnsi" w:cstheme="majorHAnsi"/>
                <w:sz w:val="18"/>
                <w:szCs w:val="18"/>
              </w:rPr>
              <w:t>Крепёжные ленты для предотвращения всплытия (для горизонтального исполнения)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D1019B" w:rsidRPr="00D1019B" w:rsidRDefault="00D1019B" w:rsidP="00D1019B">
      <w:pPr>
        <w:ind w:left="142" w:right="425"/>
        <w:rPr>
          <w:rFonts w:asciiTheme="majorHAnsi" w:hAnsiTheme="majorHAnsi" w:cstheme="majorHAnsi"/>
          <w:b/>
          <w:szCs w:val="20"/>
        </w:rPr>
      </w:pPr>
    </w:p>
    <w:p w:rsidR="00D1019B" w:rsidRPr="00D1019B" w:rsidRDefault="00D1019B" w:rsidP="00D1019B">
      <w:pPr>
        <w:ind w:left="284" w:right="425"/>
        <w:rPr>
          <w:rFonts w:asciiTheme="majorHAnsi" w:hAnsiTheme="majorHAnsi" w:cstheme="majorHAnsi"/>
          <w:b/>
          <w:szCs w:val="20"/>
        </w:rPr>
      </w:pPr>
      <w:r w:rsidRPr="00D1019B">
        <w:rPr>
          <w:rFonts w:asciiTheme="majorHAnsi" w:hAnsiTheme="majorHAnsi" w:cstheme="majorHAnsi"/>
          <w:b/>
          <w:szCs w:val="20"/>
        </w:rPr>
        <w:t>Концентрации загрязнений и условия сброса стока: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816"/>
        <w:gridCol w:w="3181"/>
        <w:gridCol w:w="3462"/>
      </w:tblGrid>
      <w:tr w:rsidR="00D1019B" w:rsidRPr="00D1019B" w:rsidTr="00D1019B">
        <w:trPr>
          <w:trHeight w:val="231"/>
        </w:trPr>
        <w:tc>
          <w:tcPr>
            <w:tcW w:w="3816" w:type="dxa"/>
            <w:shd w:val="clear" w:color="auto" w:fill="D9D9D9"/>
          </w:tcPr>
          <w:p w:rsidR="00D1019B" w:rsidRPr="00D1019B" w:rsidRDefault="00D1019B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D1019B">
              <w:rPr>
                <w:rFonts w:asciiTheme="majorHAnsi" w:hAnsiTheme="majorHAnsi" w:cstheme="majorHAnsi"/>
                <w:i/>
                <w:szCs w:val="20"/>
              </w:rPr>
              <w:t>Загрязняющие вещества</w:t>
            </w:r>
          </w:p>
        </w:tc>
        <w:tc>
          <w:tcPr>
            <w:tcW w:w="3181" w:type="dxa"/>
            <w:shd w:val="clear" w:color="auto" w:fill="D9D9D9"/>
          </w:tcPr>
          <w:p w:rsidR="00D1019B" w:rsidRPr="00D1019B" w:rsidRDefault="00D1019B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D1019B">
              <w:rPr>
                <w:rFonts w:asciiTheme="majorHAnsi" w:hAnsiTheme="majorHAnsi" w:cstheme="majorHAnsi"/>
                <w:i/>
                <w:szCs w:val="20"/>
              </w:rPr>
              <w:t>На входе</w:t>
            </w:r>
          </w:p>
        </w:tc>
        <w:tc>
          <w:tcPr>
            <w:tcW w:w="3462" w:type="dxa"/>
            <w:shd w:val="clear" w:color="auto" w:fill="D9D9D9"/>
          </w:tcPr>
          <w:p w:rsidR="00D1019B" w:rsidRPr="00D1019B" w:rsidRDefault="00D1019B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D1019B">
              <w:rPr>
                <w:rFonts w:asciiTheme="majorHAnsi" w:hAnsiTheme="majorHAnsi" w:cstheme="majorHAnsi"/>
                <w:i/>
                <w:szCs w:val="20"/>
              </w:rPr>
              <w:t>На выходе</w:t>
            </w:r>
          </w:p>
        </w:tc>
      </w:tr>
      <w:tr w:rsidR="00D1019B" w:rsidRPr="00D1019B" w:rsidTr="00D1019B">
        <w:trPr>
          <w:trHeight w:val="231"/>
        </w:trPr>
        <w:tc>
          <w:tcPr>
            <w:tcW w:w="3816" w:type="dxa"/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D1019B">
              <w:rPr>
                <w:rFonts w:asciiTheme="majorHAnsi" w:hAnsiTheme="majorHAnsi" w:cstheme="majorHAnsi"/>
                <w:szCs w:val="20"/>
              </w:rPr>
              <w:t>Взвешенные вещества, мг/л</w:t>
            </w:r>
          </w:p>
        </w:tc>
        <w:tc>
          <w:tcPr>
            <w:tcW w:w="3181" w:type="dxa"/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D1019B" w:rsidRPr="00D1019B" w:rsidTr="00D1019B">
        <w:trPr>
          <w:trHeight w:val="265"/>
        </w:trPr>
        <w:tc>
          <w:tcPr>
            <w:tcW w:w="3816" w:type="dxa"/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D1019B">
              <w:rPr>
                <w:rFonts w:asciiTheme="majorHAnsi" w:hAnsiTheme="majorHAnsi" w:cstheme="majorHAnsi"/>
                <w:szCs w:val="20"/>
              </w:rPr>
              <w:t>Нефтепродукты, мг/л</w:t>
            </w:r>
          </w:p>
        </w:tc>
        <w:tc>
          <w:tcPr>
            <w:tcW w:w="3181" w:type="dxa"/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D1019B" w:rsidRPr="00D1019B" w:rsidTr="00D1019B">
        <w:tc>
          <w:tcPr>
            <w:tcW w:w="3816" w:type="dxa"/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D1019B">
              <w:rPr>
                <w:rFonts w:asciiTheme="majorHAnsi" w:hAnsiTheme="majorHAnsi" w:cstheme="majorHAnsi"/>
                <w:szCs w:val="20"/>
              </w:rPr>
              <w:t>Другие загрязнения, мг/л:</w:t>
            </w:r>
          </w:p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81" w:type="dxa"/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D1019B" w:rsidRPr="00D1019B" w:rsidRDefault="00D1019B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D1019B" w:rsidRPr="00D1019B" w:rsidRDefault="00D1019B" w:rsidP="00D1019B">
      <w:pPr>
        <w:ind w:left="284" w:right="425"/>
        <w:rPr>
          <w:rFonts w:asciiTheme="majorHAnsi" w:hAnsiTheme="majorHAnsi" w:cstheme="majorHAnsi"/>
          <w:b/>
          <w:szCs w:val="20"/>
        </w:rPr>
      </w:pPr>
      <w:r w:rsidRPr="00D1019B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D1019B" w:rsidRPr="00D1019B" w:rsidRDefault="00D1019B" w:rsidP="00D1019B">
      <w:pPr>
        <w:ind w:left="284" w:right="425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D1019B" w:rsidRPr="00D1019B" w:rsidTr="009034E2">
        <w:trPr>
          <w:trHeight w:val="218"/>
        </w:trPr>
        <w:tc>
          <w:tcPr>
            <w:tcW w:w="9780" w:type="dxa"/>
          </w:tcPr>
          <w:p w:rsidR="00D1019B" w:rsidRPr="00D1019B" w:rsidRDefault="00D1019B" w:rsidP="009034E2">
            <w:pPr>
              <w:ind w:left="284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D1019B" w:rsidRPr="00D1019B" w:rsidRDefault="00D1019B" w:rsidP="00D1019B">
      <w:pPr>
        <w:spacing w:before="240"/>
        <w:ind w:left="426"/>
        <w:rPr>
          <w:rFonts w:asciiTheme="majorHAnsi" w:hAnsiTheme="majorHAnsi" w:cstheme="majorHAnsi"/>
          <w:i/>
        </w:rPr>
      </w:pPr>
      <w:r w:rsidRPr="00D1019B">
        <w:rPr>
          <w:rFonts w:asciiTheme="majorHAnsi" w:hAnsiTheme="majorHAnsi" w:cstheme="majorHAnsi"/>
          <w:i/>
          <w:u w:val="single"/>
        </w:rPr>
        <w:t>Примечание</w:t>
      </w:r>
      <w:r w:rsidRPr="00D1019B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D1019B" w:rsidRPr="00D1019B" w:rsidRDefault="00D1019B" w:rsidP="00D1019B">
      <w:pPr>
        <w:ind w:left="0"/>
        <w:rPr>
          <w:rFonts w:asciiTheme="majorHAnsi" w:hAnsiTheme="majorHAnsi" w:cstheme="majorHAnsi"/>
          <w:b/>
          <w:caps/>
        </w:rPr>
      </w:pPr>
    </w:p>
    <w:sectPr w:rsidR="00D1019B" w:rsidRPr="00D1019B" w:rsidSect="00624FA3">
      <w:headerReference w:type="default" r:id="rId9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38" w:rsidRDefault="00486538" w:rsidP="0091557B">
      <w:r>
        <w:separator/>
      </w:r>
    </w:p>
  </w:endnote>
  <w:endnote w:type="continuationSeparator" w:id="0">
    <w:p w:rsidR="00486538" w:rsidRDefault="00486538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38" w:rsidRDefault="00486538" w:rsidP="0091557B">
      <w:r>
        <w:separator/>
      </w:r>
    </w:p>
  </w:footnote>
  <w:footnote w:type="continuationSeparator" w:id="0">
    <w:p w:rsidR="00486538" w:rsidRDefault="00486538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E24F6"/>
    <w:rsid w:val="001564DA"/>
    <w:rsid w:val="00166772"/>
    <w:rsid w:val="0021037C"/>
    <w:rsid w:val="00243BB5"/>
    <w:rsid w:val="0025064D"/>
    <w:rsid w:val="002566B8"/>
    <w:rsid w:val="00303164"/>
    <w:rsid w:val="00310526"/>
    <w:rsid w:val="0034752D"/>
    <w:rsid w:val="0037382F"/>
    <w:rsid w:val="003861D2"/>
    <w:rsid w:val="00432B20"/>
    <w:rsid w:val="004545D6"/>
    <w:rsid w:val="00476C07"/>
    <w:rsid w:val="00486538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7D79D0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9691A"/>
    <w:rsid w:val="009B12A6"/>
    <w:rsid w:val="009B6589"/>
    <w:rsid w:val="009C7C8F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1019B"/>
    <w:rsid w:val="00D3164A"/>
    <w:rsid w:val="00D54C1E"/>
    <w:rsid w:val="00D70C7A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2F37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2394-3CAD-4192-8819-4C2B18D3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4</cp:revision>
  <cp:lastPrinted>2019-05-06T05:03:00Z</cp:lastPrinted>
  <dcterms:created xsi:type="dcterms:W3CDTF">2020-08-05T08:50:00Z</dcterms:created>
  <dcterms:modified xsi:type="dcterms:W3CDTF">2020-08-05T08:53:00Z</dcterms:modified>
</cp:coreProperties>
</file>